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78" w:rsidRPr="004D1078" w:rsidRDefault="004D1078" w:rsidP="007A5D19">
      <w:pPr>
        <w:autoSpaceDE w:val="0"/>
        <w:autoSpaceDN w:val="0"/>
        <w:adjustRightInd w:val="0"/>
        <w:jc w:val="both"/>
        <w:rPr>
          <w:b/>
          <w:lang w:bidi="th-TH"/>
        </w:rPr>
      </w:pPr>
      <w:r w:rsidRPr="004D1078">
        <w:rPr>
          <w:b/>
          <w:lang w:bidi="th-TH"/>
        </w:rPr>
        <w:t>1.KURULUŞ AMACI</w:t>
      </w:r>
    </w:p>
    <w:p w:rsidR="007A5D19" w:rsidRPr="00D22209" w:rsidRDefault="007A5D19" w:rsidP="007A5D19">
      <w:pPr>
        <w:autoSpaceDE w:val="0"/>
        <w:autoSpaceDN w:val="0"/>
        <w:adjustRightInd w:val="0"/>
        <w:jc w:val="both"/>
        <w:rPr>
          <w:lang w:bidi="th-TH"/>
        </w:rPr>
      </w:pPr>
      <w:r w:rsidRPr="00D22209">
        <w:rPr>
          <w:lang w:bidi="th-TH"/>
        </w:rPr>
        <w:t xml:space="preserve"> Kontrollü Antibiyotik kullanımı ve dirençli mikroorganizmaların yayılımının önlenmesi,</w:t>
      </w:r>
    </w:p>
    <w:p w:rsidR="007A5D19" w:rsidRDefault="007A5D19" w:rsidP="007A5D19">
      <w:pPr>
        <w:autoSpaceDE w:val="0"/>
        <w:autoSpaceDN w:val="0"/>
        <w:adjustRightInd w:val="0"/>
        <w:jc w:val="both"/>
        <w:rPr>
          <w:lang w:bidi="th-TH"/>
        </w:rPr>
      </w:pPr>
      <w:r w:rsidRPr="00D22209">
        <w:rPr>
          <w:lang w:bidi="th-TH"/>
        </w:rPr>
        <w:t xml:space="preserve"> Bu gelişmelerin bir sonucu olarak hastanelerde kontrollü antibiyotik kullanımı ile ilgili programların oluşturulması.</w:t>
      </w:r>
    </w:p>
    <w:p w:rsidR="00AF3097" w:rsidRPr="00AF3097" w:rsidRDefault="00AF3097" w:rsidP="00AF3097">
      <w:pPr>
        <w:autoSpaceDE w:val="0"/>
        <w:autoSpaceDN w:val="0"/>
        <w:adjustRightInd w:val="0"/>
        <w:jc w:val="both"/>
        <w:rPr>
          <w:lang w:bidi="th-TH"/>
        </w:rPr>
      </w:pPr>
      <w:r>
        <w:rPr>
          <w:b/>
          <w:bCs/>
          <w:lang w:bidi="th-TH"/>
        </w:rPr>
        <w:t>2.</w:t>
      </w:r>
      <w:r w:rsidRPr="00AF3097">
        <w:rPr>
          <w:b/>
          <w:bCs/>
          <w:lang w:bidi="th-TH"/>
        </w:rPr>
        <w:t>EKİBİN GÖREV ALANI ASGARİ AŞAĞIDAKİ KONULARI KAPSAR:</w:t>
      </w:r>
    </w:p>
    <w:p w:rsidR="00AF3097" w:rsidRPr="00AF3097" w:rsidRDefault="00AF3097" w:rsidP="00AF3097">
      <w:pPr>
        <w:numPr>
          <w:ilvl w:val="0"/>
          <w:numId w:val="2"/>
        </w:numPr>
        <w:autoSpaceDE w:val="0"/>
        <w:autoSpaceDN w:val="0"/>
        <w:adjustRightInd w:val="0"/>
        <w:jc w:val="both"/>
        <w:rPr>
          <w:lang w:bidi="th-TH"/>
        </w:rPr>
      </w:pPr>
      <w:r w:rsidRPr="00AF3097">
        <w:rPr>
          <w:lang w:bidi="th-TH"/>
        </w:rPr>
        <w:t>Güvenli İlaç Uygulamalarının Etkinliği</w:t>
      </w:r>
    </w:p>
    <w:p w:rsidR="00AF3097" w:rsidRPr="00AF3097" w:rsidRDefault="00AF3097" w:rsidP="00AF3097">
      <w:pPr>
        <w:numPr>
          <w:ilvl w:val="0"/>
          <w:numId w:val="2"/>
        </w:numPr>
        <w:autoSpaceDE w:val="0"/>
        <w:autoSpaceDN w:val="0"/>
        <w:adjustRightInd w:val="0"/>
        <w:jc w:val="both"/>
        <w:rPr>
          <w:lang w:bidi="th-TH"/>
        </w:rPr>
      </w:pPr>
      <w:r w:rsidRPr="00AF3097">
        <w:rPr>
          <w:lang w:bidi="th-TH"/>
        </w:rPr>
        <w:t>Gereksiz İlaç Kullanımın Engellenmesi</w:t>
      </w:r>
    </w:p>
    <w:p w:rsidR="00AF3097" w:rsidRPr="00AF3097" w:rsidRDefault="00AF3097" w:rsidP="00AF3097">
      <w:pPr>
        <w:numPr>
          <w:ilvl w:val="0"/>
          <w:numId w:val="2"/>
        </w:numPr>
        <w:autoSpaceDE w:val="0"/>
        <w:autoSpaceDN w:val="0"/>
        <w:adjustRightInd w:val="0"/>
        <w:jc w:val="both"/>
        <w:rPr>
          <w:lang w:bidi="th-TH"/>
        </w:rPr>
      </w:pPr>
      <w:r w:rsidRPr="00AF3097">
        <w:rPr>
          <w:lang w:bidi="th-TH"/>
        </w:rPr>
        <w:t>Antibiyotik Kullanımının Kontrol Altında Olması</w:t>
      </w:r>
    </w:p>
    <w:p w:rsidR="00AF3097" w:rsidRPr="00AF3097" w:rsidRDefault="00AF3097" w:rsidP="00AF3097">
      <w:pPr>
        <w:numPr>
          <w:ilvl w:val="0"/>
          <w:numId w:val="2"/>
        </w:numPr>
        <w:autoSpaceDE w:val="0"/>
        <w:autoSpaceDN w:val="0"/>
        <w:adjustRightInd w:val="0"/>
        <w:jc w:val="both"/>
        <w:rPr>
          <w:lang w:bidi="th-TH"/>
        </w:rPr>
      </w:pPr>
      <w:r w:rsidRPr="00AF3097">
        <w:rPr>
          <w:lang w:bidi="th-TH"/>
        </w:rPr>
        <w:t>Profilaksi’yi Etkin Gerçekleştirmek</w:t>
      </w:r>
    </w:p>
    <w:p w:rsidR="00AF3097" w:rsidRPr="00AF3097" w:rsidRDefault="00AF3097" w:rsidP="00AF3097">
      <w:pPr>
        <w:numPr>
          <w:ilvl w:val="0"/>
          <w:numId w:val="2"/>
        </w:numPr>
        <w:autoSpaceDE w:val="0"/>
        <w:autoSpaceDN w:val="0"/>
        <w:adjustRightInd w:val="0"/>
        <w:jc w:val="both"/>
        <w:rPr>
          <w:lang w:bidi="th-TH"/>
        </w:rPr>
      </w:pPr>
      <w:r w:rsidRPr="00AF3097">
        <w:rPr>
          <w:lang w:bidi="th-TH"/>
        </w:rPr>
        <w:t>İlaç Yan Etkileriyle İlgili Önlemler</w:t>
      </w:r>
    </w:p>
    <w:p w:rsidR="00AF3097" w:rsidRPr="00D22209" w:rsidRDefault="00AF3097" w:rsidP="000072AE">
      <w:pPr>
        <w:numPr>
          <w:ilvl w:val="0"/>
          <w:numId w:val="2"/>
        </w:numPr>
        <w:autoSpaceDE w:val="0"/>
        <w:autoSpaceDN w:val="0"/>
        <w:adjustRightInd w:val="0"/>
        <w:jc w:val="both"/>
        <w:rPr>
          <w:lang w:bidi="th-TH"/>
        </w:rPr>
      </w:pPr>
      <w:r w:rsidRPr="00AF3097">
        <w:rPr>
          <w:lang w:bidi="th-TH"/>
        </w:rPr>
        <w:t>Hasta Ve Yakınlarının Akılcı İlaç Kullanımı Konusunda Eğitimi </w:t>
      </w:r>
    </w:p>
    <w:p w:rsidR="007A5D19" w:rsidRPr="00D22209" w:rsidRDefault="007A5D19" w:rsidP="007A5D19">
      <w:pPr>
        <w:autoSpaceDE w:val="0"/>
        <w:autoSpaceDN w:val="0"/>
        <w:adjustRightInd w:val="0"/>
        <w:jc w:val="both"/>
        <w:rPr>
          <w:lang w:bidi="th-TH"/>
        </w:rPr>
      </w:pPr>
      <w:r w:rsidRPr="00A40832">
        <w:rPr>
          <w:b/>
          <w:lang w:bidi="th-TH"/>
        </w:rPr>
        <w:t>3</w:t>
      </w:r>
      <w:r w:rsidRPr="00D22209">
        <w:rPr>
          <w:lang w:bidi="th-TH"/>
        </w:rPr>
        <w:t xml:space="preserve">-Ancak bu komitenin multidisipliner bir yaklaşımla oluşturulması gereklidir. </w:t>
      </w:r>
    </w:p>
    <w:p w:rsidR="007A5D19" w:rsidRPr="00D22209" w:rsidRDefault="007A5D19" w:rsidP="007A5D19">
      <w:pPr>
        <w:autoSpaceDE w:val="0"/>
        <w:autoSpaceDN w:val="0"/>
        <w:adjustRightInd w:val="0"/>
        <w:jc w:val="both"/>
        <w:rPr>
          <w:lang w:bidi="th-TH"/>
        </w:rPr>
      </w:pPr>
      <w:r w:rsidRPr="00A40832">
        <w:rPr>
          <w:b/>
          <w:lang w:bidi="th-TH"/>
        </w:rPr>
        <w:t>4</w:t>
      </w:r>
      <w:r w:rsidRPr="00D22209">
        <w:rPr>
          <w:lang w:bidi="th-TH"/>
        </w:rPr>
        <w:t>-Hastanenin iyi yapılandırılmış bir otomasyon sisteminin bulunması ve antibiyotik tüketim verisine otomasyon sistemi üzerinden ulaşılabilmesi büyük bir avantaj sağlar.</w:t>
      </w:r>
    </w:p>
    <w:p w:rsidR="007A5D19" w:rsidRPr="00D22209" w:rsidRDefault="007A5D19" w:rsidP="007A5D19">
      <w:pPr>
        <w:autoSpaceDE w:val="0"/>
        <w:autoSpaceDN w:val="0"/>
        <w:adjustRightInd w:val="0"/>
        <w:jc w:val="both"/>
        <w:rPr>
          <w:lang w:bidi="th-TH"/>
        </w:rPr>
      </w:pPr>
      <w:r w:rsidRPr="00A40832">
        <w:rPr>
          <w:b/>
          <w:lang w:bidi="th-TH"/>
        </w:rPr>
        <w:t>5-</w:t>
      </w:r>
      <w:r w:rsidRPr="00D22209">
        <w:rPr>
          <w:lang w:bidi="th-TH"/>
        </w:rPr>
        <w:t xml:space="preserve"> Hasta veya eczane kayıtlarının incelenmesi </w:t>
      </w:r>
      <w:r w:rsidR="00A40832" w:rsidRPr="00D22209">
        <w:rPr>
          <w:lang w:bidi="th-TH"/>
        </w:rPr>
        <w:t>ve en</w:t>
      </w:r>
      <w:r w:rsidRPr="00D22209">
        <w:rPr>
          <w:lang w:bidi="th-TH"/>
        </w:rPr>
        <w:t xml:space="preserve"> çok tüketilen antibiyotiklerin listesi ve mikrobiyoloji laboratuvarından temin </w:t>
      </w:r>
      <w:r w:rsidR="00A40832" w:rsidRPr="00D22209">
        <w:rPr>
          <w:lang w:bidi="th-TH"/>
        </w:rPr>
        <w:t>edilecek, çeşitli</w:t>
      </w:r>
      <w:r w:rsidRPr="00D22209">
        <w:rPr>
          <w:lang w:bidi="th-TH"/>
        </w:rPr>
        <w:t xml:space="preserve"> mikroorganizmalara ait direnç paterni, </w:t>
      </w:r>
      <w:r w:rsidR="00A40832" w:rsidRPr="00D22209">
        <w:rPr>
          <w:lang w:bidi="th-TH"/>
        </w:rPr>
        <w:t>oluşturmak. Öncelikli</w:t>
      </w:r>
      <w:r w:rsidRPr="00D22209">
        <w:rPr>
          <w:lang w:bidi="th-TH"/>
        </w:rPr>
        <w:t xml:space="preserve"> olarak ele alması gereken konularıdır. </w:t>
      </w:r>
    </w:p>
    <w:p w:rsidR="007A5D19" w:rsidRPr="00D22209" w:rsidRDefault="007A5D19" w:rsidP="007A5D19">
      <w:pPr>
        <w:autoSpaceDE w:val="0"/>
        <w:autoSpaceDN w:val="0"/>
        <w:adjustRightInd w:val="0"/>
        <w:jc w:val="both"/>
        <w:rPr>
          <w:lang w:bidi="th-TH"/>
        </w:rPr>
      </w:pPr>
      <w:r w:rsidRPr="00A40832">
        <w:rPr>
          <w:b/>
          <w:lang w:bidi="th-TH"/>
        </w:rPr>
        <w:t>6-</w:t>
      </w:r>
      <w:r w:rsidRPr="00D22209">
        <w:rPr>
          <w:lang w:bidi="th-TH"/>
        </w:rPr>
        <w:t>AKK, strateji belirlemeli., lokal direnç sorunları, hastaneye hasta refere eden kaynaklar, finans kaynakları gibi çok sayıda değişkeni dikkate almalıdır. Hedef mümkün olduğunca iyi tanımlanmalıdır.</w:t>
      </w:r>
    </w:p>
    <w:p w:rsidR="007A5D19" w:rsidRPr="00D22209" w:rsidRDefault="007A5D19" w:rsidP="007A5D19">
      <w:pPr>
        <w:autoSpaceDE w:val="0"/>
        <w:autoSpaceDN w:val="0"/>
        <w:adjustRightInd w:val="0"/>
        <w:jc w:val="both"/>
        <w:rPr>
          <w:lang w:bidi="th-TH"/>
        </w:rPr>
      </w:pPr>
      <w:r w:rsidRPr="00A40832">
        <w:rPr>
          <w:b/>
          <w:lang w:bidi="th-TH"/>
        </w:rPr>
        <w:t>7-</w:t>
      </w:r>
      <w:r w:rsidRPr="00D22209">
        <w:rPr>
          <w:lang w:bidi="th-TH"/>
        </w:rPr>
        <w:t xml:space="preserve">Etkinliği en fazla ve uygulanması en kolay olan kontrol stratejilerden biridir. Nadir kullanılan ilaçların ilaç listesinden çıkarılmasına, bir terapötik grup içindeki ilaç sayısının etkinlik, güvenilirlik, yan etki profili, hasta uyumu ve maliyet faktörleri dikkate alınarak kısıtlanmasına </w:t>
      </w:r>
      <w:r w:rsidR="00A40832" w:rsidRPr="00D22209">
        <w:rPr>
          <w:lang w:bidi="th-TH"/>
        </w:rPr>
        <w:t>imkân</w:t>
      </w:r>
      <w:r w:rsidRPr="00D22209">
        <w:rPr>
          <w:lang w:bidi="th-TH"/>
        </w:rPr>
        <w:t xml:space="preserve"> sağlamalıdır. Formüler AKK tarafından belirli aralıklarla gözden geçirilmelidir. </w:t>
      </w:r>
    </w:p>
    <w:p w:rsidR="007A5D19" w:rsidRPr="00D22209" w:rsidRDefault="007A5D19" w:rsidP="007A5D19">
      <w:pPr>
        <w:autoSpaceDE w:val="0"/>
        <w:autoSpaceDN w:val="0"/>
        <w:adjustRightInd w:val="0"/>
        <w:jc w:val="both"/>
        <w:rPr>
          <w:lang w:bidi="th-TH"/>
        </w:rPr>
      </w:pPr>
      <w:r w:rsidRPr="00A40832">
        <w:rPr>
          <w:b/>
          <w:lang w:bidi="th-TH"/>
        </w:rPr>
        <w:t>8-</w:t>
      </w:r>
      <w:r w:rsidRPr="00D22209">
        <w:rPr>
          <w:lang w:bidi="th-TH"/>
        </w:rPr>
        <w:t xml:space="preserve">Mikrobiyoloji laboratuvarı sadece hastanenin ilaç listesinde yer alan antibiyotikler için duyarlılık sonuçlarını bildirmeli ve </w:t>
      </w:r>
      <w:r w:rsidRPr="00D22209">
        <w:rPr>
          <w:color w:val="FF0000"/>
          <w:lang w:bidi="th-TH"/>
        </w:rPr>
        <w:t>bildirim kısıtlı</w:t>
      </w:r>
      <w:r w:rsidRPr="00D22209">
        <w:rPr>
          <w:lang w:bidi="th-TH"/>
        </w:rPr>
        <w:t xml:space="preserve"> olmalıdır (birinci basamakta yer alan antibiyotiklere direnç durumunda ikinci basamaktaki antibiyotikler için duyarlılık sonucunun verilmesi gibi).</w:t>
      </w:r>
    </w:p>
    <w:p w:rsidR="007A5D19" w:rsidRPr="00D22209" w:rsidRDefault="007A5D19" w:rsidP="007A5D19">
      <w:pPr>
        <w:autoSpaceDE w:val="0"/>
        <w:autoSpaceDN w:val="0"/>
        <w:adjustRightInd w:val="0"/>
        <w:jc w:val="both"/>
        <w:rPr>
          <w:lang w:bidi="th-TH"/>
        </w:rPr>
      </w:pPr>
      <w:r w:rsidRPr="00A40832">
        <w:rPr>
          <w:b/>
          <w:lang w:bidi="th-TH"/>
        </w:rPr>
        <w:t>9-</w:t>
      </w:r>
      <w:r w:rsidRPr="00D22209">
        <w:rPr>
          <w:lang w:bidi="th-TH"/>
        </w:rPr>
        <w:t xml:space="preserve">Hastane genelinde antimikrobiyal ajanlara duyarlılık durumu hakkında hekimlerin bilgi sahibi olmasını sağlamak ve doğru antibiyotik seçimine yardımcı olabilmek amacıyla ceptetaşınabilecek küçük broşürler </w:t>
      </w:r>
      <w:r w:rsidR="00A40832" w:rsidRPr="00D22209">
        <w:rPr>
          <w:lang w:bidi="th-TH"/>
        </w:rPr>
        <w:t>hazırlamalı.</w:t>
      </w:r>
      <w:r w:rsidRPr="00D22209">
        <w:rPr>
          <w:lang w:bidi="th-TH"/>
        </w:rPr>
        <w:t xml:space="preserve"> Bu tür broşürlerle kontrollü kullanım kapsamına giren antibiyotikler, optimum dozlar ve tedavi maliyeti hakkında bilgi sunmalıdır.</w:t>
      </w:r>
    </w:p>
    <w:p w:rsidR="007A5D19" w:rsidRPr="00D22209" w:rsidRDefault="007A5D19" w:rsidP="007A5D19">
      <w:pPr>
        <w:autoSpaceDE w:val="0"/>
        <w:autoSpaceDN w:val="0"/>
        <w:adjustRightInd w:val="0"/>
        <w:jc w:val="both"/>
        <w:rPr>
          <w:lang w:bidi="th-TH"/>
        </w:rPr>
      </w:pPr>
      <w:r w:rsidRPr="00A40832">
        <w:rPr>
          <w:b/>
          <w:lang w:bidi="th-TH"/>
        </w:rPr>
        <w:t>10</w:t>
      </w:r>
      <w:r w:rsidR="00A40832" w:rsidRPr="00A40832">
        <w:rPr>
          <w:b/>
          <w:lang w:bidi="th-TH"/>
        </w:rPr>
        <w:t>-</w:t>
      </w:r>
      <w:r w:rsidR="00A40832" w:rsidRPr="00D22209">
        <w:rPr>
          <w:lang w:bidi="th-TH"/>
        </w:rPr>
        <w:t>Sık</w:t>
      </w:r>
      <w:r w:rsidRPr="00D22209">
        <w:rPr>
          <w:lang w:bidi="th-TH"/>
        </w:rPr>
        <w:t xml:space="preserve"> görülen bazı infeksiyon hastalıkları için tedavi kılavuzları </w:t>
      </w:r>
      <w:r w:rsidR="00B418D4" w:rsidRPr="00D22209">
        <w:rPr>
          <w:lang w:bidi="th-TH"/>
        </w:rPr>
        <w:t>hazırlamalıdır. Bölümlerin</w:t>
      </w:r>
      <w:r w:rsidRPr="00D22209">
        <w:rPr>
          <w:lang w:bidi="th-TH"/>
        </w:rPr>
        <w:t xml:space="preserve"> eğitim toplantılarında uygulamanın amacı hakkında bilgilendirme yapılması, formüler değişikliği yapıldığı zaman bununla ilgili kısa bir gerekçe sunulması önemli eğitim faaliyetleri arasında yer alır. Bu faaliyetlerin sürekliliğinin sağlanması AKK’nın görevleri arasındadır.</w:t>
      </w:r>
    </w:p>
    <w:p w:rsidR="007A5D19" w:rsidRPr="00D22209" w:rsidRDefault="007A5D19" w:rsidP="007A5D19">
      <w:pPr>
        <w:autoSpaceDE w:val="0"/>
        <w:autoSpaceDN w:val="0"/>
        <w:adjustRightInd w:val="0"/>
        <w:jc w:val="both"/>
        <w:rPr>
          <w:lang w:bidi="th-TH"/>
        </w:rPr>
      </w:pPr>
      <w:r w:rsidRPr="00D22209">
        <w:rPr>
          <w:b/>
          <w:bCs/>
          <w:i/>
          <w:iCs/>
          <w:lang w:bidi="th-TH"/>
        </w:rPr>
        <w:t>11-</w:t>
      </w:r>
      <w:r w:rsidRPr="00D22209">
        <w:rPr>
          <w:lang w:bidi="th-TH"/>
        </w:rPr>
        <w:t>Hastane genelinde ne tür bir uygulama yapılacağına eldeki veriler doğrultusunda AKK tarafından karar verilmesi gerekir.</w:t>
      </w:r>
    </w:p>
    <w:p w:rsidR="00AF3097" w:rsidRDefault="00AF3097" w:rsidP="007A5D19">
      <w:pPr>
        <w:autoSpaceDE w:val="0"/>
        <w:autoSpaceDN w:val="0"/>
        <w:adjustRightInd w:val="0"/>
        <w:jc w:val="both"/>
        <w:rPr>
          <w:lang w:bidi="th-TH"/>
        </w:rPr>
      </w:pPr>
    </w:p>
    <w:p w:rsidR="00AF3097" w:rsidRPr="00AF3097" w:rsidRDefault="00AF3097" w:rsidP="00AF3097">
      <w:pPr>
        <w:autoSpaceDE w:val="0"/>
        <w:autoSpaceDN w:val="0"/>
        <w:adjustRightInd w:val="0"/>
        <w:jc w:val="both"/>
        <w:rPr>
          <w:lang w:bidi="th-TH"/>
        </w:rPr>
      </w:pPr>
      <w:r>
        <w:rPr>
          <w:b/>
          <w:bCs/>
          <w:lang w:bidi="th-TH"/>
        </w:rPr>
        <w:t xml:space="preserve">EKİBİN TOPLANMA SÜRESİ: </w:t>
      </w:r>
      <w:r w:rsidR="001B19AE">
        <w:rPr>
          <w:b/>
          <w:bCs/>
          <w:lang w:bidi="th-TH"/>
        </w:rPr>
        <w:t>3</w:t>
      </w:r>
      <w:r w:rsidRPr="00AF3097">
        <w:rPr>
          <w:b/>
          <w:bCs/>
          <w:lang w:bidi="th-TH"/>
        </w:rPr>
        <w:t> </w:t>
      </w:r>
      <w:r w:rsidR="001B19AE">
        <w:rPr>
          <w:b/>
          <w:bCs/>
          <w:lang w:bidi="th-TH"/>
        </w:rPr>
        <w:t>(</w:t>
      </w:r>
      <w:r w:rsidRPr="00AF3097">
        <w:rPr>
          <w:lang w:bidi="th-TH"/>
        </w:rPr>
        <w:t>AYDA BİR</w:t>
      </w:r>
      <w:r w:rsidR="001B19AE">
        <w:rPr>
          <w:lang w:bidi="th-TH"/>
        </w:rPr>
        <w:t xml:space="preserve"> YILDA 4 DEFA)</w:t>
      </w:r>
    </w:p>
    <w:p w:rsidR="00AC16C5" w:rsidRDefault="00AF3097" w:rsidP="00A40832">
      <w:pPr>
        <w:autoSpaceDE w:val="0"/>
        <w:autoSpaceDN w:val="0"/>
        <w:adjustRightInd w:val="0"/>
        <w:jc w:val="both"/>
        <w:rPr>
          <w:rFonts w:eastAsiaTheme="minorHAnsi"/>
          <w:b/>
        </w:rPr>
      </w:pPr>
      <w:r w:rsidRPr="00AF3097">
        <w:rPr>
          <w:lang w:bidi="th-TH"/>
        </w:rPr>
        <w:t> </w:t>
      </w:r>
    </w:p>
    <w:p w:rsidR="00AC16C5" w:rsidRDefault="00AC16C5" w:rsidP="00AC16C5">
      <w:pPr>
        <w:spacing w:after="200" w:line="276" w:lineRule="auto"/>
        <w:rPr>
          <w:rFonts w:eastAsiaTheme="minorHAnsi"/>
          <w:b/>
        </w:rPr>
      </w:pPr>
      <w:r w:rsidRPr="00AC16C5">
        <w:rPr>
          <w:rFonts w:eastAsiaTheme="minorHAnsi"/>
          <w:b/>
        </w:rPr>
        <w:t>Hekimler branş ünvanlarına göre görevlendirildiklerinden dolayı bu branşlarda çalışan hekim bu ekipte görevlendirilir.</w:t>
      </w:r>
    </w:p>
    <w:p w:rsidR="00AC16C5" w:rsidRDefault="00AC16C5" w:rsidP="00AC16C5">
      <w:pPr>
        <w:spacing w:after="200" w:line="276" w:lineRule="auto"/>
        <w:rPr>
          <w:rFonts w:eastAsiaTheme="minorHAnsi"/>
          <w:b/>
        </w:rPr>
      </w:pPr>
    </w:p>
    <w:p w:rsidR="00AC16C5" w:rsidRDefault="00AC16C5" w:rsidP="00AC16C5">
      <w:pPr>
        <w:spacing w:after="200" w:line="276" w:lineRule="auto"/>
        <w:rPr>
          <w:rFonts w:eastAsiaTheme="minorHAnsi"/>
          <w:b/>
        </w:rPr>
      </w:pPr>
    </w:p>
    <w:p w:rsidR="00AC16C5" w:rsidRDefault="00AC16C5" w:rsidP="00AC16C5">
      <w:pPr>
        <w:spacing w:after="200" w:line="276" w:lineRule="auto"/>
        <w:rPr>
          <w:rFonts w:eastAsiaTheme="minorHAnsi"/>
          <w:b/>
        </w:rPr>
      </w:pPr>
    </w:p>
    <w:p w:rsidR="00E912E6" w:rsidRDefault="00E912E6" w:rsidP="00AC16C5">
      <w:pPr>
        <w:spacing w:after="200" w:line="276" w:lineRule="auto"/>
        <w:rPr>
          <w:b/>
          <w:bCs/>
          <w:color w:val="2C2B2B"/>
          <w:lang w:eastAsia="tr-TR"/>
        </w:rPr>
      </w:pPr>
    </w:p>
    <w:p w:rsidR="00AC16C5" w:rsidRPr="00AC16C5" w:rsidRDefault="001D568D" w:rsidP="00AC16C5">
      <w:pPr>
        <w:spacing w:after="200" w:line="276" w:lineRule="auto"/>
        <w:rPr>
          <w:b/>
          <w:bCs/>
          <w:color w:val="2C2B2B"/>
          <w:lang w:eastAsia="tr-TR"/>
        </w:rPr>
      </w:pPr>
      <w:r>
        <w:rPr>
          <w:b/>
          <w:bCs/>
          <w:color w:val="2C2B2B"/>
          <w:lang w:eastAsia="tr-TR"/>
        </w:rPr>
        <w:t>28.04.2020</w:t>
      </w:r>
      <w:r w:rsidR="00E912E6">
        <w:rPr>
          <w:b/>
          <w:bCs/>
          <w:color w:val="2C2B2B"/>
          <w:lang w:eastAsia="tr-TR"/>
        </w:rPr>
        <w:t xml:space="preserve"> / TARİHİ İTİBARİYLE </w:t>
      </w:r>
      <w:r w:rsidR="006A68C9">
        <w:rPr>
          <w:b/>
          <w:bCs/>
          <w:color w:val="2C2B2B"/>
          <w:lang w:eastAsia="tr-TR"/>
        </w:rPr>
        <w:t>KOMİTEDE</w:t>
      </w:r>
      <w:r w:rsidR="00AC16C5" w:rsidRPr="00AC16C5">
        <w:rPr>
          <w:b/>
          <w:bCs/>
          <w:color w:val="2C2B2B"/>
          <w:lang w:eastAsia="tr-TR"/>
        </w:rPr>
        <w:t xml:space="preserve"> YER ALAN KİŞİLER:</w:t>
      </w:r>
    </w:p>
    <w:tbl>
      <w:tblPr>
        <w:tblStyle w:val="TabloKlavuzu"/>
        <w:tblW w:w="10603" w:type="dxa"/>
        <w:tblInd w:w="-572" w:type="dxa"/>
        <w:tblLook w:val="04A0"/>
      </w:tblPr>
      <w:tblGrid>
        <w:gridCol w:w="709"/>
        <w:gridCol w:w="4507"/>
        <w:gridCol w:w="5387"/>
      </w:tblGrid>
      <w:tr w:rsidR="00E912E6" w:rsidRPr="00E912E6" w:rsidTr="00E912E6">
        <w:tc>
          <w:tcPr>
            <w:tcW w:w="709" w:type="dxa"/>
          </w:tcPr>
          <w:p w:rsidR="00E912E6" w:rsidRPr="00E912E6" w:rsidRDefault="00E912E6" w:rsidP="00E912E6">
            <w:pPr>
              <w:spacing w:line="276" w:lineRule="auto"/>
              <w:rPr>
                <w:rFonts w:eastAsiaTheme="minorEastAsia"/>
                <w:b/>
              </w:rPr>
            </w:pPr>
            <w:bookmarkStart w:id="0" w:name="_Hlk519772995"/>
            <w:r w:rsidRPr="00E912E6">
              <w:rPr>
                <w:rFonts w:eastAsiaTheme="minorEastAsia"/>
                <w:b/>
              </w:rPr>
              <w:t>NO:</w:t>
            </w:r>
          </w:p>
        </w:tc>
        <w:tc>
          <w:tcPr>
            <w:tcW w:w="4507" w:type="dxa"/>
          </w:tcPr>
          <w:p w:rsidR="00E912E6" w:rsidRPr="00E912E6" w:rsidRDefault="00E912E6" w:rsidP="00E912E6">
            <w:pPr>
              <w:spacing w:line="276" w:lineRule="auto"/>
              <w:rPr>
                <w:rFonts w:eastAsiaTheme="minorEastAsia"/>
                <w:b/>
              </w:rPr>
            </w:pPr>
            <w:r w:rsidRPr="00E912E6">
              <w:rPr>
                <w:rFonts w:eastAsiaTheme="minorEastAsia"/>
                <w:b/>
              </w:rPr>
              <w:t>GÖREVİ/ÜNVANI</w:t>
            </w:r>
          </w:p>
        </w:tc>
        <w:tc>
          <w:tcPr>
            <w:tcW w:w="5387" w:type="dxa"/>
          </w:tcPr>
          <w:p w:rsidR="00E912E6" w:rsidRPr="00E912E6" w:rsidRDefault="00E912E6" w:rsidP="00E912E6">
            <w:pPr>
              <w:spacing w:line="276" w:lineRule="auto"/>
              <w:rPr>
                <w:rFonts w:eastAsiaTheme="minorEastAsia"/>
                <w:b/>
              </w:rPr>
            </w:pPr>
            <w:r w:rsidRPr="00E912E6">
              <w:rPr>
                <w:rFonts w:eastAsiaTheme="minorEastAsia"/>
                <w:b/>
              </w:rPr>
              <w:t>ADI SOYADI                                İMZA</w:t>
            </w:r>
          </w:p>
        </w:tc>
      </w:tr>
    </w:tbl>
    <w:tbl>
      <w:tblPr>
        <w:tblW w:w="10647" w:type="dxa"/>
        <w:tblInd w:w="-572" w:type="dxa"/>
        <w:tblCellMar>
          <w:left w:w="10" w:type="dxa"/>
          <w:right w:w="10" w:type="dxa"/>
        </w:tblCellMar>
        <w:tblLook w:val="0000"/>
      </w:tblPr>
      <w:tblGrid>
        <w:gridCol w:w="709"/>
        <w:gridCol w:w="4507"/>
        <w:gridCol w:w="5431"/>
      </w:tblGrid>
      <w:tr w:rsidR="00E912E6" w:rsidRPr="00E912E6" w:rsidTr="00E912E6">
        <w:trPr>
          <w:trHeight w:val="52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bookmarkEnd w:id="0"/>
          <w:p w:rsidR="00E912E6" w:rsidRPr="00E912E6" w:rsidRDefault="00E912E6" w:rsidP="00E912E6">
            <w:pPr>
              <w:widowControl w:val="0"/>
              <w:suppressAutoHyphens/>
              <w:autoSpaceDN w:val="0"/>
              <w:textAlignment w:val="baseline"/>
              <w:rPr>
                <w:rFonts w:eastAsia="Andale Sans UI" w:cs="Tahoma"/>
                <w:kern w:val="3"/>
                <w:lang w:eastAsia="tr-TR"/>
              </w:rPr>
            </w:pPr>
            <w:r w:rsidRPr="00E912E6">
              <w:rPr>
                <w:rFonts w:eastAsia="Andale Sans UI" w:cs="Tahoma"/>
                <w:kern w:val="3"/>
                <w:lang w:eastAsia="tr-TR"/>
              </w:rPr>
              <w:t>1</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E6" w:rsidRPr="00E912E6" w:rsidRDefault="00E912E6" w:rsidP="00E912E6">
            <w:pPr>
              <w:spacing w:after="200" w:line="276" w:lineRule="auto"/>
              <w:rPr>
                <w:rFonts w:eastAsiaTheme="minorEastAsia"/>
                <w:lang w:eastAsia="tr-TR"/>
              </w:rPr>
            </w:pPr>
            <w:r w:rsidRPr="00E912E6">
              <w:rPr>
                <w:rFonts w:eastAsiaTheme="minorEastAsia"/>
                <w:lang w:eastAsia="tr-TR"/>
              </w:rPr>
              <w:t>Başhekim</w:t>
            </w:r>
          </w:p>
        </w:tc>
        <w:tc>
          <w:tcPr>
            <w:tcW w:w="5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E6" w:rsidRPr="00E912E6" w:rsidRDefault="00E912E6" w:rsidP="00E912E6">
            <w:pPr>
              <w:spacing w:after="200" w:line="276" w:lineRule="auto"/>
              <w:rPr>
                <w:rFonts w:eastAsiaTheme="minorEastAsia"/>
                <w:lang w:eastAsia="tr-TR"/>
              </w:rPr>
            </w:pPr>
            <w:r w:rsidRPr="00E912E6">
              <w:rPr>
                <w:rFonts w:eastAsiaTheme="minorEastAsia"/>
                <w:lang w:eastAsia="tr-TR"/>
              </w:rPr>
              <w:t>Hasan BALABAN</w:t>
            </w:r>
          </w:p>
        </w:tc>
      </w:tr>
      <w:tr w:rsidR="00E912E6" w:rsidRPr="00E912E6" w:rsidTr="00E912E6">
        <w:trPr>
          <w:trHeight w:val="52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E6" w:rsidRPr="00E912E6" w:rsidRDefault="00E912E6" w:rsidP="00E912E6">
            <w:pPr>
              <w:widowControl w:val="0"/>
              <w:suppressAutoHyphens/>
              <w:autoSpaceDN w:val="0"/>
              <w:textAlignment w:val="baseline"/>
              <w:rPr>
                <w:rFonts w:eastAsia="Andale Sans UI" w:cs="Tahoma"/>
                <w:kern w:val="3"/>
                <w:lang w:eastAsia="tr-TR"/>
              </w:rPr>
            </w:pPr>
            <w:r w:rsidRPr="00E912E6">
              <w:rPr>
                <w:rFonts w:eastAsia="Andale Sans UI" w:cs="Tahoma"/>
                <w:kern w:val="3"/>
                <w:lang w:eastAsia="tr-TR"/>
              </w:rPr>
              <w:t>2</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E6" w:rsidRPr="00E912E6" w:rsidRDefault="00E912E6" w:rsidP="00E912E6">
            <w:pPr>
              <w:spacing w:after="200" w:line="276" w:lineRule="auto"/>
              <w:rPr>
                <w:rFonts w:eastAsiaTheme="minorEastAsia"/>
                <w:lang w:eastAsia="tr-TR"/>
              </w:rPr>
            </w:pPr>
            <w:r w:rsidRPr="00E912E6">
              <w:rPr>
                <w:rFonts w:eastAsiaTheme="minorEastAsia"/>
                <w:lang w:eastAsia="tr-TR"/>
              </w:rPr>
              <w:t>Başhekim Yardımcısı</w:t>
            </w:r>
          </w:p>
        </w:tc>
        <w:tc>
          <w:tcPr>
            <w:tcW w:w="5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E6" w:rsidRPr="00E912E6" w:rsidRDefault="00E912E6" w:rsidP="00E912E6">
            <w:pPr>
              <w:spacing w:after="200" w:line="276" w:lineRule="auto"/>
              <w:rPr>
                <w:rFonts w:eastAsiaTheme="minorEastAsia"/>
                <w:lang w:eastAsia="tr-TR"/>
              </w:rPr>
            </w:pPr>
            <w:r w:rsidRPr="00E912E6">
              <w:rPr>
                <w:rFonts w:eastAsiaTheme="minorEastAsia"/>
                <w:lang w:eastAsia="tr-TR"/>
              </w:rPr>
              <w:t>Nebahat YİĞİT</w:t>
            </w:r>
          </w:p>
        </w:tc>
      </w:tr>
      <w:tr w:rsidR="00E912E6" w:rsidRPr="00E912E6" w:rsidTr="00E912E6">
        <w:trPr>
          <w:trHeight w:val="54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E6" w:rsidRPr="00E912E6" w:rsidRDefault="00E912E6" w:rsidP="00E912E6">
            <w:pPr>
              <w:widowControl w:val="0"/>
              <w:suppressAutoHyphens/>
              <w:autoSpaceDN w:val="0"/>
              <w:textAlignment w:val="baseline"/>
              <w:rPr>
                <w:rFonts w:eastAsia="Andale Sans UI" w:cs="Tahoma"/>
                <w:kern w:val="3"/>
                <w:lang w:eastAsia="tr-TR"/>
              </w:rPr>
            </w:pPr>
            <w:r w:rsidRPr="00E912E6">
              <w:rPr>
                <w:rFonts w:eastAsia="Andale Sans UI" w:cs="Tahoma"/>
                <w:kern w:val="3"/>
                <w:lang w:eastAsia="tr-TR"/>
              </w:rPr>
              <w:t>3</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E6" w:rsidRPr="00E912E6" w:rsidRDefault="00E912E6" w:rsidP="00E912E6">
            <w:pPr>
              <w:spacing w:after="200" w:line="276" w:lineRule="auto"/>
              <w:rPr>
                <w:rFonts w:eastAsiaTheme="minorEastAsia"/>
                <w:lang w:eastAsia="tr-TR"/>
              </w:rPr>
            </w:pPr>
            <w:r w:rsidRPr="00E912E6">
              <w:rPr>
                <w:rFonts w:eastAsiaTheme="minorEastAsia"/>
                <w:lang w:eastAsia="tr-TR"/>
              </w:rPr>
              <w:t>Sağlık Bakım Hizmetleri Müdürü</w:t>
            </w:r>
          </w:p>
        </w:tc>
        <w:tc>
          <w:tcPr>
            <w:tcW w:w="5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E6" w:rsidRPr="00E912E6" w:rsidRDefault="001B19AE" w:rsidP="00E912E6">
            <w:pPr>
              <w:rPr>
                <w:rFonts w:eastAsiaTheme="minorEastAsia"/>
                <w:lang w:eastAsia="tr-TR"/>
              </w:rPr>
            </w:pPr>
            <w:r>
              <w:rPr>
                <w:rFonts w:eastAsiaTheme="minorEastAsia"/>
                <w:lang w:eastAsia="tr-TR"/>
              </w:rPr>
              <w:t>Kadriye Özlem YILMAZ</w:t>
            </w:r>
          </w:p>
        </w:tc>
      </w:tr>
      <w:tr w:rsidR="00E912E6" w:rsidRPr="00E912E6" w:rsidTr="00E912E6">
        <w:trPr>
          <w:trHeight w:val="557"/>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E6" w:rsidRPr="00E912E6" w:rsidRDefault="00E912E6" w:rsidP="00E912E6">
            <w:pPr>
              <w:widowControl w:val="0"/>
              <w:suppressAutoHyphens/>
              <w:autoSpaceDN w:val="0"/>
              <w:textAlignment w:val="baseline"/>
              <w:rPr>
                <w:rFonts w:eastAsia="Andale Sans UI" w:cs="Tahoma"/>
                <w:kern w:val="3"/>
                <w:lang w:eastAsia="tr-TR"/>
              </w:rPr>
            </w:pPr>
            <w:r w:rsidRPr="00E912E6">
              <w:rPr>
                <w:rFonts w:eastAsia="Andale Sans UI" w:cs="Tahoma"/>
                <w:kern w:val="3"/>
                <w:lang w:eastAsia="tr-TR"/>
              </w:rPr>
              <w:t>4</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E6" w:rsidRPr="00E912E6" w:rsidRDefault="00E912E6" w:rsidP="00E912E6">
            <w:pPr>
              <w:spacing w:after="200" w:line="276" w:lineRule="auto"/>
              <w:rPr>
                <w:rFonts w:eastAsiaTheme="minorEastAsia"/>
                <w:lang w:eastAsia="tr-TR"/>
              </w:rPr>
            </w:pPr>
            <w:r w:rsidRPr="00E912E6">
              <w:rPr>
                <w:rFonts w:eastAsiaTheme="minorEastAsia"/>
                <w:lang w:eastAsia="tr-TR"/>
              </w:rPr>
              <w:t>Enfeksiyon Hastalıkları Uzmanı</w:t>
            </w:r>
          </w:p>
        </w:tc>
        <w:tc>
          <w:tcPr>
            <w:tcW w:w="5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E6" w:rsidRPr="00E912E6" w:rsidRDefault="00E912E6" w:rsidP="00E912E6">
            <w:pPr>
              <w:spacing w:after="200" w:line="276" w:lineRule="auto"/>
              <w:rPr>
                <w:rFonts w:eastAsiaTheme="minorEastAsia"/>
                <w:lang w:eastAsia="tr-TR"/>
              </w:rPr>
            </w:pPr>
            <w:r w:rsidRPr="00E912E6">
              <w:rPr>
                <w:rFonts w:eastAsiaTheme="minorEastAsia"/>
                <w:lang w:eastAsia="tr-TR"/>
              </w:rPr>
              <w:t>Demet ÖKKE</w:t>
            </w:r>
          </w:p>
        </w:tc>
      </w:tr>
      <w:tr w:rsidR="00E912E6" w:rsidRPr="00E912E6" w:rsidTr="00E912E6">
        <w:trPr>
          <w:trHeight w:val="5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E6" w:rsidRPr="00E912E6" w:rsidRDefault="00E912E6" w:rsidP="00E912E6">
            <w:pPr>
              <w:widowControl w:val="0"/>
              <w:suppressAutoHyphens/>
              <w:autoSpaceDN w:val="0"/>
              <w:textAlignment w:val="baseline"/>
              <w:rPr>
                <w:rFonts w:eastAsia="Andale Sans UI" w:cs="Tahoma"/>
                <w:kern w:val="3"/>
                <w:lang w:eastAsia="tr-TR"/>
              </w:rPr>
            </w:pPr>
            <w:r w:rsidRPr="00E912E6">
              <w:rPr>
                <w:rFonts w:eastAsia="Andale Sans UI" w:cs="Tahoma"/>
                <w:kern w:val="3"/>
                <w:lang w:eastAsia="tr-TR"/>
              </w:rPr>
              <w:t>5</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E6" w:rsidRPr="00E912E6" w:rsidRDefault="00E912E6" w:rsidP="00E912E6">
            <w:pPr>
              <w:spacing w:after="200" w:line="276" w:lineRule="auto"/>
              <w:rPr>
                <w:rFonts w:eastAsiaTheme="minorEastAsia"/>
                <w:lang w:eastAsia="tr-TR"/>
              </w:rPr>
            </w:pPr>
            <w:r w:rsidRPr="00E912E6">
              <w:rPr>
                <w:rFonts w:eastAsiaTheme="minorEastAsia"/>
                <w:lang w:eastAsia="tr-TR"/>
              </w:rPr>
              <w:t>Cerrahi branş Uzmanı</w:t>
            </w:r>
          </w:p>
        </w:tc>
        <w:tc>
          <w:tcPr>
            <w:tcW w:w="5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E6" w:rsidRPr="00E912E6" w:rsidRDefault="001B19AE" w:rsidP="00E912E6">
            <w:pPr>
              <w:spacing w:after="200" w:line="276" w:lineRule="auto"/>
              <w:rPr>
                <w:rFonts w:eastAsiaTheme="minorEastAsia"/>
                <w:lang w:eastAsia="tr-TR"/>
              </w:rPr>
            </w:pPr>
            <w:r>
              <w:rPr>
                <w:rFonts w:eastAsiaTheme="minorEastAsia"/>
                <w:lang w:eastAsia="tr-TR"/>
              </w:rPr>
              <w:t>İdris AKÇAY</w:t>
            </w:r>
          </w:p>
        </w:tc>
      </w:tr>
      <w:tr w:rsidR="00E912E6" w:rsidRPr="00E912E6" w:rsidTr="00E912E6">
        <w:trPr>
          <w:trHeight w:val="54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E6" w:rsidRPr="00E912E6" w:rsidRDefault="00E912E6" w:rsidP="00E912E6">
            <w:pPr>
              <w:widowControl w:val="0"/>
              <w:suppressAutoHyphens/>
              <w:autoSpaceDN w:val="0"/>
              <w:textAlignment w:val="baseline"/>
              <w:rPr>
                <w:rFonts w:eastAsia="Andale Sans UI" w:cs="Tahoma"/>
                <w:kern w:val="3"/>
                <w:lang w:eastAsia="tr-TR"/>
              </w:rPr>
            </w:pPr>
            <w:r w:rsidRPr="00E912E6">
              <w:rPr>
                <w:rFonts w:eastAsia="Andale Sans UI" w:cs="Tahoma"/>
                <w:kern w:val="3"/>
                <w:lang w:eastAsia="tr-TR"/>
              </w:rPr>
              <w:t>6</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E6" w:rsidRPr="00E912E6" w:rsidRDefault="00E912E6" w:rsidP="00E912E6">
            <w:pPr>
              <w:spacing w:after="200" w:line="276" w:lineRule="auto"/>
              <w:rPr>
                <w:rFonts w:eastAsiaTheme="minorEastAsia"/>
                <w:lang w:eastAsia="tr-TR"/>
              </w:rPr>
            </w:pPr>
            <w:r w:rsidRPr="00E912E6">
              <w:rPr>
                <w:rFonts w:eastAsiaTheme="minorEastAsia"/>
                <w:lang w:eastAsia="tr-TR"/>
              </w:rPr>
              <w:t>Dahiliye Branş Uzmanı</w:t>
            </w:r>
          </w:p>
        </w:tc>
        <w:tc>
          <w:tcPr>
            <w:tcW w:w="5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E6" w:rsidRPr="00E912E6" w:rsidRDefault="00E912E6" w:rsidP="00E912E6">
            <w:pPr>
              <w:spacing w:after="200" w:line="276" w:lineRule="auto"/>
              <w:rPr>
                <w:rFonts w:eastAsiaTheme="minorEastAsia"/>
                <w:lang w:eastAsia="tr-TR"/>
              </w:rPr>
            </w:pPr>
            <w:r w:rsidRPr="00E912E6">
              <w:rPr>
                <w:rFonts w:eastAsiaTheme="minorEastAsia"/>
                <w:lang w:eastAsia="tr-TR"/>
              </w:rPr>
              <w:t>Fehime CAN</w:t>
            </w:r>
          </w:p>
        </w:tc>
      </w:tr>
      <w:tr w:rsidR="00E912E6" w:rsidRPr="00E912E6" w:rsidTr="00E912E6">
        <w:trPr>
          <w:trHeight w:val="52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E6" w:rsidRPr="00E912E6" w:rsidRDefault="00E912E6" w:rsidP="00E912E6">
            <w:pPr>
              <w:widowControl w:val="0"/>
              <w:suppressAutoHyphens/>
              <w:autoSpaceDN w:val="0"/>
              <w:textAlignment w:val="baseline"/>
              <w:rPr>
                <w:rFonts w:eastAsia="Andale Sans UI" w:cs="Tahoma"/>
                <w:kern w:val="3"/>
                <w:lang w:eastAsia="tr-TR"/>
              </w:rPr>
            </w:pPr>
            <w:r w:rsidRPr="00E912E6">
              <w:rPr>
                <w:rFonts w:eastAsia="Andale Sans UI" w:cs="Tahoma"/>
                <w:kern w:val="3"/>
                <w:lang w:eastAsia="tr-TR"/>
              </w:rPr>
              <w:t>7</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E6" w:rsidRPr="00E912E6" w:rsidRDefault="00E912E6" w:rsidP="00E912E6">
            <w:pPr>
              <w:spacing w:after="200" w:line="276" w:lineRule="auto"/>
              <w:rPr>
                <w:rFonts w:eastAsiaTheme="minorEastAsia"/>
                <w:lang w:eastAsia="tr-TR"/>
              </w:rPr>
            </w:pPr>
            <w:r w:rsidRPr="00E912E6">
              <w:rPr>
                <w:rFonts w:eastAsiaTheme="minorEastAsia"/>
                <w:lang w:eastAsia="tr-TR"/>
              </w:rPr>
              <w:t xml:space="preserve">Eczacı </w:t>
            </w:r>
          </w:p>
        </w:tc>
        <w:tc>
          <w:tcPr>
            <w:tcW w:w="5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E6" w:rsidRPr="00E912E6" w:rsidRDefault="00E912E6" w:rsidP="00E912E6">
            <w:pPr>
              <w:spacing w:after="200" w:line="276" w:lineRule="auto"/>
              <w:rPr>
                <w:rFonts w:eastAsiaTheme="minorEastAsia"/>
                <w:lang w:eastAsia="tr-TR"/>
              </w:rPr>
            </w:pPr>
            <w:r w:rsidRPr="00E912E6">
              <w:rPr>
                <w:rFonts w:eastAsiaTheme="minorEastAsia"/>
                <w:lang w:eastAsia="tr-TR"/>
              </w:rPr>
              <w:t>Yunus ERTAŞ</w:t>
            </w:r>
          </w:p>
        </w:tc>
      </w:tr>
      <w:tr w:rsidR="00E912E6" w:rsidRPr="00E912E6" w:rsidTr="00E912E6">
        <w:trPr>
          <w:trHeight w:val="57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E6" w:rsidRPr="00E912E6" w:rsidRDefault="00E912E6" w:rsidP="00E912E6">
            <w:pPr>
              <w:widowControl w:val="0"/>
              <w:suppressAutoHyphens/>
              <w:autoSpaceDN w:val="0"/>
              <w:textAlignment w:val="baseline"/>
              <w:rPr>
                <w:rFonts w:eastAsia="Andale Sans UI" w:cs="Tahoma"/>
                <w:kern w:val="3"/>
                <w:lang w:eastAsia="tr-TR"/>
              </w:rPr>
            </w:pPr>
            <w:r w:rsidRPr="00E912E6">
              <w:rPr>
                <w:rFonts w:eastAsia="Andale Sans UI" w:cs="Tahoma"/>
                <w:kern w:val="3"/>
                <w:lang w:eastAsia="tr-TR"/>
              </w:rPr>
              <w:t>8</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E6" w:rsidRPr="00E912E6" w:rsidRDefault="00E912E6" w:rsidP="00E912E6">
            <w:pPr>
              <w:spacing w:after="200" w:line="276" w:lineRule="auto"/>
              <w:rPr>
                <w:rFonts w:eastAsiaTheme="minorEastAsia"/>
                <w:lang w:eastAsia="tr-TR"/>
              </w:rPr>
            </w:pPr>
            <w:r w:rsidRPr="00E912E6">
              <w:rPr>
                <w:rFonts w:eastAsiaTheme="minorEastAsia"/>
                <w:lang w:eastAsia="tr-TR"/>
              </w:rPr>
              <w:t xml:space="preserve">Kalite Direktörü </w:t>
            </w:r>
          </w:p>
        </w:tc>
        <w:tc>
          <w:tcPr>
            <w:tcW w:w="5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E6" w:rsidRPr="00E912E6" w:rsidRDefault="001B19AE" w:rsidP="00E912E6">
            <w:pPr>
              <w:spacing w:after="200" w:line="276" w:lineRule="auto"/>
              <w:rPr>
                <w:rFonts w:eastAsiaTheme="minorEastAsia"/>
                <w:lang w:eastAsia="tr-TR"/>
              </w:rPr>
            </w:pPr>
            <w:r>
              <w:rPr>
                <w:rFonts w:eastAsiaTheme="minorEastAsia"/>
                <w:lang w:eastAsia="tr-TR"/>
              </w:rPr>
              <w:t>Hayrettin TEYFUR</w:t>
            </w:r>
          </w:p>
        </w:tc>
      </w:tr>
      <w:tr w:rsidR="00E912E6" w:rsidRPr="00E912E6" w:rsidTr="00E912E6">
        <w:trPr>
          <w:trHeight w:val="579"/>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E6" w:rsidRPr="00E912E6" w:rsidRDefault="00E912E6" w:rsidP="00E912E6">
            <w:pPr>
              <w:widowControl w:val="0"/>
              <w:suppressAutoHyphens/>
              <w:autoSpaceDN w:val="0"/>
              <w:textAlignment w:val="baseline"/>
              <w:rPr>
                <w:rFonts w:eastAsia="Andale Sans UI" w:cs="Tahoma"/>
                <w:kern w:val="3"/>
                <w:lang w:eastAsia="tr-TR"/>
              </w:rPr>
            </w:pPr>
            <w:r w:rsidRPr="00E912E6">
              <w:rPr>
                <w:rFonts w:eastAsia="Andale Sans UI" w:cs="Tahoma"/>
                <w:kern w:val="3"/>
                <w:lang w:eastAsia="tr-TR"/>
              </w:rPr>
              <w:t>9</w:t>
            </w:r>
          </w:p>
        </w:tc>
        <w:tc>
          <w:tcPr>
            <w:tcW w:w="45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E6" w:rsidRPr="00E912E6" w:rsidRDefault="00E912E6" w:rsidP="00E912E6">
            <w:pPr>
              <w:spacing w:after="200" w:line="276" w:lineRule="auto"/>
              <w:rPr>
                <w:rFonts w:eastAsiaTheme="minorEastAsia"/>
                <w:lang w:eastAsia="tr-TR"/>
              </w:rPr>
            </w:pPr>
            <w:r w:rsidRPr="00E912E6">
              <w:rPr>
                <w:rFonts w:eastAsiaTheme="minorEastAsia"/>
                <w:lang w:eastAsia="tr-TR"/>
              </w:rPr>
              <w:t>Enfeksiyon Hemşiresi</w:t>
            </w:r>
          </w:p>
        </w:tc>
        <w:tc>
          <w:tcPr>
            <w:tcW w:w="5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2E6" w:rsidRPr="00E912E6" w:rsidRDefault="00E912E6" w:rsidP="00E912E6">
            <w:pPr>
              <w:spacing w:after="200" w:line="276" w:lineRule="auto"/>
              <w:rPr>
                <w:rFonts w:eastAsiaTheme="minorEastAsia"/>
                <w:lang w:eastAsia="tr-TR"/>
              </w:rPr>
            </w:pPr>
            <w:r w:rsidRPr="00E912E6">
              <w:rPr>
                <w:rFonts w:eastAsiaTheme="minorEastAsia"/>
                <w:lang w:eastAsia="tr-TR"/>
              </w:rPr>
              <w:t>Özgül KARAKURT</w:t>
            </w:r>
          </w:p>
        </w:tc>
      </w:tr>
    </w:tbl>
    <w:p w:rsidR="00AC16C5" w:rsidRPr="00AC16C5" w:rsidRDefault="00AC16C5" w:rsidP="00AC16C5">
      <w:pPr>
        <w:shd w:val="clear" w:color="auto" w:fill="FFFFFF"/>
        <w:spacing w:after="105"/>
        <w:rPr>
          <w:rFonts w:ascii="Arial" w:hAnsi="Arial" w:cs="Arial"/>
          <w:b/>
          <w:bCs/>
          <w:color w:val="2C2B2B"/>
          <w:sz w:val="18"/>
          <w:szCs w:val="22"/>
          <w:lang w:eastAsia="tr-TR"/>
        </w:rPr>
      </w:pPr>
    </w:p>
    <w:p w:rsidR="00AC16C5" w:rsidRDefault="00AC16C5" w:rsidP="00AC16C5">
      <w:pPr>
        <w:shd w:val="clear" w:color="auto" w:fill="FFFFFF"/>
        <w:spacing w:after="105"/>
        <w:rPr>
          <w:rFonts w:ascii="Arial" w:hAnsi="Arial" w:cs="Arial"/>
          <w:b/>
          <w:bCs/>
          <w:color w:val="2C2B2B"/>
          <w:sz w:val="18"/>
          <w:szCs w:val="22"/>
          <w:lang w:eastAsia="tr-TR"/>
        </w:rPr>
      </w:pPr>
      <w:bookmarkStart w:id="1" w:name="_GoBack"/>
      <w:bookmarkEnd w:id="1"/>
    </w:p>
    <w:p w:rsidR="00D144C4" w:rsidRDefault="00D144C4" w:rsidP="00AC16C5">
      <w:pPr>
        <w:shd w:val="clear" w:color="auto" w:fill="FFFFFF"/>
        <w:spacing w:after="105"/>
        <w:rPr>
          <w:rFonts w:ascii="Arial" w:hAnsi="Arial" w:cs="Arial"/>
          <w:b/>
          <w:bCs/>
          <w:color w:val="2C2B2B"/>
          <w:sz w:val="18"/>
          <w:szCs w:val="22"/>
          <w:lang w:eastAsia="tr-TR"/>
        </w:rPr>
      </w:pPr>
    </w:p>
    <w:p w:rsidR="00D144C4" w:rsidRDefault="00D144C4" w:rsidP="00AC16C5">
      <w:pPr>
        <w:shd w:val="clear" w:color="auto" w:fill="FFFFFF"/>
        <w:spacing w:after="105"/>
        <w:rPr>
          <w:rFonts w:ascii="Arial" w:hAnsi="Arial" w:cs="Arial"/>
          <w:b/>
          <w:bCs/>
          <w:color w:val="2C2B2B"/>
          <w:sz w:val="18"/>
          <w:szCs w:val="22"/>
          <w:lang w:eastAsia="tr-TR"/>
        </w:rPr>
      </w:pPr>
    </w:p>
    <w:p w:rsidR="00D144C4" w:rsidRPr="00AC16C5" w:rsidRDefault="00D144C4" w:rsidP="00AC16C5">
      <w:pPr>
        <w:shd w:val="clear" w:color="auto" w:fill="FFFFFF"/>
        <w:spacing w:after="105"/>
        <w:rPr>
          <w:rFonts w:ascii="Arial" w:hAnsi="Arial" w:cs="Arial"/>
          <w:b/>
          <w:bCs/>
          <w:color w:val="2C2B2B"/>
          <w:sz w:val="18"/>
          <w:szCs w:val="22"/>
          <w:lang w:eastAsia="tr-TR"/>
        </w:rPr>
      </w:pPr>
    </w:p>
    <w:p w:rsidR="00AC16C5" w:rsidRPr="00AC16C5" w:rsidRDefault="00AC16C5" w:rsidP="00AC16C5">
      <w:pPr>
        <w:shd w:val="clear" w:color="auto" w:fill="FFFFFF"/>
        <w:spacing w:after="105"/>
        <w:rPr>
          <w:rFonts w:ascii="Arial" w:hAnsi="Arial" w:cs="Arial"/>
          <w:color w:val="2C2B2B"/>
          <w:sz w:val="18"/>
          <w:szCs w:val="18"/>
          <w:lang w:eastAsia="tr-TR"/>
        </w:rPr>
      </w:pPr>
    </w:p>
    <w:p w:rsidR="00AC16C5" w:rsidRPr="00AC16C5" w:rsidRDefault="00AC16C5" w:rsidP="00AC16C5">
      <w:pPr>
        <w:spacing w:after="200" w:line="276" w:lineRule="auto"/>
        <w:rPr>
          <w:rFonts w:asciiTheme="minorHAnsi" w:eastAsiaTheme="minorEastAsia" w:hAnsiTheme="minorHAnsi" w:cstheme="minorBidi"/>
          <w:sz w:val="22"/>
          <w:szCs w:val="22"/>
          <w:lang w:eastAsia="tr-TR"/>
        </w:rPr>
      </w:pPr>
    </w:p>
    <w:p w:rsidR="00185587" w:rsidRDefault="00185587"/>
    <w:sectPr w:rsidR="00185587" w:rsidSect="001D41E4">
      <w:headerReference w:type="default" r:id="rId8"/>
      <w:footerReference w:type="default" r:id="rId9"/>
      <w:pgSz w:w="11906" w:h="16838" w:code="9"/>
      <w:pgMar w:top="2384" w:right="1134" w:bottom="426" w:left="1134" w:header="0" w:footer="5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ACC" w:rsidRDefault="00A91ACC" w:rsidP="007A5D19">
      <w:r>
        <w:separator/>
      </w:r>
    </w:p>
  </w:endnote>
  <w:endnote w:type="continuationSeparator" w:id="1">
    <w:p w:rsidR="00A91ACC" w:rsidRDefault="00A91ACC" w:rsidP="007A5D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6D" w:rsidRDefault="00A91ACC">
    <w:pPr>
      <w:pStyle w:val="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ACC" w:rsidRDefault="00A91ACC" w:rsidP="007A5D19">
      <w:r>
        <w:separator/>
      </w:r>
    </w:p>
  </w:footnote>
  <w:footnote w:type="continuationSeparator" w:id="1">
    <w:p w:rsidR="00A91ACC" w:rsidRDefault="00A91ACC" w:rsidP="007A5D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6D" w:rsidRDefault="00A91ACC"/>
  <w:p w:rsidR="009B276D" w:rsidRDefault="00A91ACC"/>
  <w:tbl>
    <w:tblPr>
      <w:tblW w:w="10411" w:type="dxa"/>
      <w:tblInd w:w="-612" w:type="dxa"/>
      <w:tblBorders>
        <w:top w:val="single" w:sz="4" w:space="0" w:color="auto"/>
        <w:left w:val="single" w:sz="4" w:space="0" w:color="auto"/>
        <w:bottom w:val="single" w:sz="4" w:space="0" w:color="auto"/>
        <w:right w:val="single" w:sz="4" w:space="0" w:color="auto"/>
      </w:tblBorders>
      <w:tblLayout w:type="fixed"/>
      <w:tblLook w:val="0000"/>
    </w:tblPr>
    <w:tblGrid>
      <w:gridCol w:w="2268"/>
      <w:gridCol w:w="2880"/>
      <w:gridCol w:w="1418"/>
      <w:gridCol w:w="1656"/>
      <w:gridCol w:w="2189"/>
    </w:tblGrid>
    <w:tr w:rsidR="00AC16C5" w:rsidTr="00924E2C">
      <w:trPr>
        <w:cantSplit/>
        <w:trHeight w:val="1215"/>
      </w:trPr>
      <w:tc>
        <w:tcPr>
          <w:tcW w:w="2268" w:type="dxa"/>
          <w:tcBorders>
            <w:top w:val="thickThinSmallGap" w:sz="24" w:space="0" w:color="auto"/>
            <w:left w:val="thickThinSmallGap" w:sz="24" w:space="0" w:color="auto"/>
            <w:bottom w:val="thickThinSmallGap" w:sz="24" w:space="0" w:color="auto"/>
            <w:right w:val="thickThinSmallGap" w:sz="24" w:space="0" w:color="auto"/>
          </w:tcBorders>
        </w:tcPr>
        <w:p w:rsidR="00AC16C5" w:rsidRDefault="002A6089" w:rsidP="00AC16C5">
          <w:pPr>
            <w:pStyle w:val="Balk1"/>
            <w:jc w:val="center"/>
            <w:rPr>
              <w:rFonts w:eastAsia="Arial Unicode MS"/>
              <w:sz w:val="20"/>
            </w:rPr>
          </w:pPr>
          <w:r w:rsidRPr="002A6089">
            <w:rPr>
              <w:rFonts w:eastAsia="Arial Unicode MS"/>
              <w:noProof/>
              <w:sz w:val="20"/>
              <w:lang w:eastAsia="tr-TR"/>
            </w:rPr>
            <w:drawing>
              <wp:inline distT="0" distB="0" distL="0" distR="0">
                <wp:extent cx="974785" cy="767618"/>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4762" cy="783349"/>
                        </a:xfrm>
                        <a:prstGeom prst="rect">
                          <a:avLst/>
                        </a:prstGeom>
                        <a:noFill/>
                        <a:ln>
                          <a:noFill/>
                        </a:ln>
                      </pic:spPr>
                    </pic:pic>
                  </a:graphicData>
                </a:graphic>
              </wp:inline>
            </w:drawing>
          </w:r>
        </w:p>
      </w:tc>
      <w:tc>
        <w:tcPr>
          <w:tcW w:w="5954" w:type="dxa"/>
          <w:gridSpan w:val="3"/>
          <w:tcBorders>
            <w:top w:val="thickThinSmallGap" w:sz="24" w:space="0" w:color="auto"/>
            <w:left w:val="thickThinSmallGap" w:sz="24" w:space="0" w:color="auto"/>
            <w:bottom w:val="thickThinSmallGap" w:sz="24" w:space="0" w:color="auto"/>
            <w:right w:val="thickThinSmallGap" w:sz="24" w:space="0" w:color="auto"/>
          </w:tcBorders>
          <w:vAlign w:val="center"/>
        </w:tcPr>
        <w:p w:rsidR="00AC16C5" w:rsidRPr="00121726" w:rsidRDefault="00AC16C5" w:rsidP="00AC16C5">
          <w:pPr>
            <w:pStyle w:val="Balk1"/>
            <w:jc w:val="center"/>
            <w:rPr>
              <w:rFonts w:ascii="Times New Roman" w:hAnsi="Times New Roman" w:cs="Times New Roman"/>
              <w:bCs w:val="0"/>
              <w:szCs w:val="28"/>
            </w:rPr>
          </w:pPr>
          <w:r w:rsidRPr="008D01D8">
            <w:rPr>
              <w:rFonts w:ascii="Times New Roman" w:hAnsi="Times New Roman" w:cs="Times New Roman"/>
              <w:bCs w:val="0"/>
              <w:szCs w:val="28"/>
            </w:rPr>
            <w:t>ANTİBİ</w:t>
          </w:r>
          <w:r>
            <w:rPr>
              <w:rFonts w:ascii="Times New Roman" w:hAnsi="Times New Roman" w:cs="Times New Roman"/>
              <w:bCs w:val="0"/>
              <w:szCs w:val="28"/>
            </w:rPr>
            <w:t>Y</w:t>
          </w:r>
          <w:r w:rsidRPr="008D01D8">
            <w:rPr>
              <w:rFonts w:ascii="Times New Roman" w:hAnsi="Times New Roman" w:cs="Times New Roman"/>
              <w:bCs w:val="0"/>
              <w:szCs w:val="28"/>
            </w:rPr>
            <w:t xml:space="preserve">OTİK </w:t>
          </w:r>
          <w:r w:rsidR="00AC73CA">
            <w:rPr>
              <w:rFonts w:ascii="Times New Roman" w:hAnsi="Times New Roman" w:cs="Times New Roman"/>
              <w:bCs w:val="0"/>
              <w:szCs w:val="28"/>
            </w:rPr>
            <w:t xml:space="preserve">İLAÇ KULLANIMI </w:t>
          </w:r>
          <w:r w:rsidR="007F68C4">
            <w:rPr>
              <w:rFonts w:ascii="Times New Roman" w:hAnsi="Times New Roman" w:cs="Times New Roman"/>
              <w:bCs w:val="0"/>
              <w:szCs w:val="28"/>
            </w:rPr>
            <w:t>EKİBİ</w:t>
          </w:r>
        </w:p>
      </w:tc>
      <w:tc>
        <w:tcPr>
          <w:tcW w:w="2189" w:type="dxa"/>
          <w:tcBorders>
            <w:top w:val="thickThinSmallGap" w:sz="24" w:space="0" w:color="auto"/>
            <w:left w:val="thickThinSmallGap" w:sz="24" w:space="0" w:color="auto"/>
            <w:bottom w:val="thickThinSmallGap" w:sz="24" w:space="0" w:color="auto"/>
            <w:right w:val="thickThinSmallGap" w:sz="24" w:space="0" w:color="auto"/>
          </w:tcBorders>
          <w:vAlign w:val="center"/>
        </w:tcPr>
        <w:p w:rsidR="00AC16C5" w:rsidRDefault="00AC16C5" w:rsidP="00AC16C5">
          <w:r>
            <w:rPr>
              <w:rFonts w:eastAsia="Arial Unicode MS"/>
              <w:noProof/>
              <w:sz w:val="20"/>
              <w:lang w:eastAsia="tr-TR"/>
            </w:rPr>
            <w:drawing>
              <wp:anchor distT="0" distB="0" distL="114300" distR="114300" simplePos="0" relativeHeight="251659264" behindDoc="0" locked="0" layoutInCell="1" allowOverlap="1">
                <wp:simplePos x="0" y="0"/>
                <wp:positionH relativeFrom="column">
                  <wp:posOffset>116205</wp:posOffset>
                </wp:positionH>
                <wp:positionV relativeFrom="paragraph">
                  <wp:posOffset>-82550</wp:posOffset>
                </wp:positionV>
                <wp:extent cx="949960" cy="714375"/>
                <wp:effectExtent l="19050" t="0" r="2540" b="0"/>
                <wp:wrapNone/>
                <wp:docPr id="3" name="Resim 3"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1_small"/>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9960" cy="714375"/>
                        </a:xfrm>
                        <a:prstGeom prst="rect">
                          <a:avLst/>
                        </a:prstGeom>
                        <a:noFill/>
                      </pic:spPr>
                    </pic:pic>
                  </a:graphicData>
                </a:graphic>
              </wp:anchor>
            </w:drawing>
          </w:r>
        </w:p>
      </w:tc>
    </w:tr>
    <w:tr w:rsidR="00AC16C5" w:rsidRPr="00273344" w:rsidTr="00924E2C">
      <w:tblPrEx>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PrEx>
      <w:trPr>
        <w:trHeight w:val="192"/>
      </w:trPr>
      <w:tc>
        <w:tcPr>
          <w:tcW w:w="2268" w:type="dxa"/>
        </w:tcPr>
        <w:p w:rsidR="00AC16C5" w:rsidRPr="00121726" w:rsidRDefault="00AC16C5" w:rsidP="00AC16C5">
          <w:pPr>
            <w:pStyle w:val="a"/>
            <w:rPr>
              <w:b/>
              <w:sz w:val="20"/>
              <w:szCs w:val="20"/>
            </w:rPr>
          </w:pPr>
          <w:r w:rsidRPr="00121726">
            <w:rPr>
              <w:b/>
              <w:sz w:val="20"/>
              <w:szCs w:val="20"/>
            </w:rPr>
            <w:t>DÖK</w:t>
          </w:r>
          <w:r>
            <w:rPr>
              <w:b/>
              <w:sz w:val="20"/>
              <w:szCs w:val="20"/>
            </w:rPr>
            <w:t>.NO:</w:t>
          </w:r>
          <w:r w:rsidR="005F3B7A">
            <w:rPr>
              <w:b/>
              <w:sz w:val="20"/>
              <w:szCs w:val="20"/>
            </w:rPr>
            <w:t>KY.HB.10</w:t>
          </w:r>
        </w:p>
      </w:tc>
      <w:tc>
        <w:tcPr>
          <w:tcW w:w="2880" w:type="dxa"/>
        </w:tcPr>
        <w:p w:rsidR="00AC16C5" w:rsidRPr="00121726" w:rsidRDefault="00AC16C5" w:rsidP="00AC16C5">
          <w:pPr>
            <w:pStyle w:val="a"/>
            <w:rPr>
              <w:b/>
              <w:sz w:val="20"/>
              <w:szCs w:val="20"/>
            </w:rPr>
          </w:pPr>
          <w:r>
            <w:rPr>
              <w:b/>
              <w:sz w:val="20"/>
              <w:szCs w:val="20"/>
            </w:rPr>
            <w:t>YAY.TAR:</w:t>
          </w:r>
          <w:r w:rsidR="005F3B7A">
            <w:rPr>
              <w:b/>
              <w:sz w:val="20"/>
              <w:szCs w:val="20"/>
            </w:rPr>
            <w:t>01.03.2018</w:t>
          </w:r>
        </w:p>
      </w:tc>
      <w:tc>
        <w:tcPr>
          <w:tcW w:w="1418" w:type="dxa"/>
        </w:tcPr>
        <w:p w:rsidR="00AC16C5" w:rsidRPr="00121726" w:rsidRDefault="00AC16C5" w:rsidP="00AC16C5">
          <w:pPr>
            <w:pStyle w:val="a"/>
            <w:rPr>
              <w:b/>
              <w:sz w:val="20"/>
              <w:szCs w:val="20"/>
            </w:rPr>
          </w:pPr>
          <w:r>
            <w:rPr>
              <w:b/>
              <w:sz w:val="20"/>
              <w:szCs w:val="20"/>
            </w:rPr>
            <w:t>REV.NO:</w:t>
          </w:r>
        </w:p>
      </w:tc>
      <w:tc>
        <w:tcPr>
          <w:tcW w:w="1656" w:type="dxa"/>
        </w:tcPr>
        <w:p w:rsidR="00AC16C5" w:rsidRPr="00121726" w:rsidRDefault="00AC16C5" w:rsidP="00AC16C5">
          <w:pPr>
            <w:pStyle w:val="a"/>
            <w:rPr>
              <w:b/>
              <w:sz w:val="20"/>
              <w:szCs w:val="20"/>
            </w:rPr>
          </w:pPr>
          <w:r>
            <w:rPr>
              <w:b/>
              <w:sz w:val="20"/>
              <w:szCs w:val="20"/>
            </w:rPr>
            <w:t>REV.TAR:</w:t>
          </w:r>
        </w:p>
      </w:tc>
      <w:tc>
        <w:tcPr>
          <w:tcW w:w="2189" w:type="dxa"/>
        </w:tcPr>
        <w:p w:rsidR="00AC16C5" w:rsidRPr="00121726" w:rsidRDefault="00AC16C5" w:rsidP="00AC16C5">
          <w:pPr>
            <w:pStyle w:val="a"/>
            <w:rPr>
              <w:b/>
              <w:sz w:val="20"/>
              <w:szCs w:val="20"/>
            </w:rPr>
          </w:pPr>
          <w:r>
            <w:rPr>
              <w:b/>
              <w:sz w:val="20"/>
              <w:szCs w:val="20"/>
            </w:rPr>
            <w:t>SAYFA:1/2</w:t>
          </w:r>
        </w:p>
      </w:tc>
    </w:tr>
  </w:tbl>
  <w:p w:rsidR="009B276D" w:rsidRPr="00273344" w:rsidRDefault="00A91ACC" w:rsidP="001D41E4">
    <w:pPr>
      <w:pStyle w:val="a"/>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52E8"/>
    <w:multiLevelType w:val="hybridMultilevel"/>
    <w:tmpl w:val="8C8AF052"/>
    <w:lvl w:ilvl="0" w:tplc="F3B4C97E">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D2316E7"/>
    <w:multiLevelType w:val="multilevel"/>
    <w:tmpl w:val="8D4658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AE4F91"/>
    <w:multiLevelType w:val="multilevel"/>
    <w:tmpl w:val="518CC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1A6B2C"/>
    <w:multiLevelType w:val="multilevel"/>
    <w:tmpl w:val="95D8FC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281F33"/>
    <w:multiLevelType w:val="multilevel"/>
    <w:tmpl w:val="217A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B1152E"/>
    <w:multiLevelType w:val="multilevel"/>
    <w:tmpl w:val="87F40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5E3B35"/>
    <w:multiLevelType w:val="multilevel"/>
    <w:tmpl w:val="46E2C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7A5D19"/>
    <w:rsid w:val="0004571B"/>
    <w:rsid w:val="0015440D"/>
    <w:rsid w:val="00185587"/>
    <w:rsid w:val="001B19AE"/>
    <w:rsid w:val="001D568D"/>
    <w:rsid w:val="0026330A"/>
    <w:rsid w:val="00265D83"/>
    <w:rsid w:val="002A6089"/>
    <w:rsid w:val="002E02E7"/>
    <w:rsid w:val="003134EF"/>
    <w:rsid w:val="003D3DF5"/>
    <w:rsid w:val="004D1078"/>
    <w:rsid w:val="005F3B7A"/>
    <w:rsid w:val="006A68C9"/>
    <w:rsid w:val="0073266F"/>
    <w:rsid w:val="00746436"/>
    <w:rsid w:val="007615FB"/>
    <w:rsid w:val="00784FA3"/>
    <w:rsid w:val="007A5D19"/>
    <w:rsid w:val="007C07F0"/>
    <w:rsid w:val="007E0CE7"/>
    <w:rsid w:val="007F68C4"/>
    <w:rsid w:val="008D44EB"/>
    <w:rsid w:val="00924E2C"/>
    <w:rsid w:val="00942762"/>
    <w:rsid w:val="009C35A2"/>
    <w:rsid w:val="00A40832"/>
    <w:rsid w:val="00A548F0"/>
    <w:rsid w:val="00A91ACC"/>
    <w:rsid w:val="00AC16C5"/>
    <w:rsid w:val="00AC73CA"/>
    <w:rsid w:val="00AF3097"/>
    <w:rsid w:val="00B21B09"/>
    <w:rsid w:val="00B37203"/>
    <w:rsid w:val="00B418D4"/>
    <w:rsid w:val="00B4404E"/>
    <w:rsid w:val="00B75ECC"/>
    <w:rsid w:val="00BD0184"/>
    <w:rsid w:val="00C93BCF"/>
    <w:rsid w:val="00D144C4"/>
    <w:rsid w:val="00E7698D"/>
    <w:rsid w:val="00E912E6"/>
    <w:rsid w:val="00F0248F"/>
    <w:rsid w:val="00F060CE"/>
    <w:rsid w:val="00F929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D19"/>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qFormat/>
    <w:rsid w:val="007A5D19"/>
    <w:pPr>
      <w:keepNext/>
      <w:spacing w:line="360" w:lineRule="auto"/>
      <w:outlineLvl w:val="0"/>
    </w:pPr>
    <w:rPr>
      <w:rFonts w:ascii="Arial" w:hAnsi="Arial" w:cs="Arial"/>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A5D19"/>
    <w:rPr>
      <w:rFonts w:ascii="Arial" w:eastAsia="Times New Roman" w:hAnsi="Arial" w:cs="Arial"/>
      <w:b/>
      <w:bCs/>
      <w:sz w:val="28"/>
      <w:szCs w:val="24"/>
    </w:rPr>
  </w:style>
  <w:style w:type="paragraph" w:customStyle="1" w:styleId="a">
    <w:basedOn w:val="Normal"/>
    <w:next w:val="Altbilgi"/>
    <w:rsid w:val="007A5D19"/>
    <w:pPr>
      <w:tabs>
        <w:tab w:val="center" w:pos="4536"/>
        <w:tab w:val="right" w:pos="9072"/>
      </w:tabs>
    </w:pPr>
  </w:style>
  <w:style w:type="paragraph" w:styleId="stbilgi">
    <w:name w:val="header"/>
    <w:basedOn w:val="Normal"/>
    <w:link w:val="stbilgiChar"/>
    <w:uiPriority w:val="99"/>
    <w:unhideWhenUsed/>
    <w:rsid w:val="007A5D19"/>
    <w:pPr>
      <w:tabs>
        <w:tab w:val="center" w:pos="4536"/>
        <w:tab w:val="right" w:pos="9072"/>
      </w:tabs>
    </w:pPr>
  </w:style>
  <w:style w:type="character" w:customStyle="1" w:styleId="stbilgiChar">
    <w:name w:val="Üstbilgi Char"/>
    <w:basedOn w:val="VarsaylanParagrafYazTipi"/>
    <w:link w:val="stbilgi"/>
    <w:uiPriority w:val="99"/>
    <w:rsid w:val="007A5D19"/>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7A5D19"/>
    <w:pPr>
      <w:tabs>
        <w:tab w:val="center" w:pos="4536"/>
        <w:tab w:val="right" w:pos="9072"/>
      </w:tabs>
    </w:pPr>
  </w:style>
  <w:style w:type="character" w:customStyle="1" w:styleId="AltbilgiChar">
    <w:name w:val="Altbilgi Char"/>
    <w:basedOn w:val="VarsaylanParagrafYazTipi"/>
    <w:link w:val="Altbilgi"/>
    <w:uiPriority w:val="99"/>
    <w:rsid w:val="007A5D19"/>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6A68C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68C9"/>
    <w:rPr>
      <w:rFonts w:ascii="Segoe UI" w:eastAsia="Times New Roman" w:hAnsi="Segoe UI" w:cs="Segoe UI"/>
      <w:sz w:val="18"/>
      <w:szCs w:val="18"/>
    </w:rPr>
  </w:style>
  <w:style w:type="paragraph" w:styleId="ListeParagraf">
    <w:name w:val="List Paragraph"/>
    <w:basedOn w:val="Normal"/>
    <w:uiPriority w:val="34"/>
    <w:qFormat/>
    <w:rsid w:val="00AF3097"/>
    <w:pPr>
      <w:ind w:left="720"/>
      <w:contextualSpacing/>
    </w:pPr>
  </w:style>
  <w:style w:type="table" w:styleId="TabloKlavuzu">
    <w:name w:val="Table Grid"/>
    <w:basedOn w:val="NormalTablo"/>
    <w:uiPriority w:val="59"/>
    <w:rsid w:val="00E912E6"/>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970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E2C8C-B3E4-4524-853D-759AEA5B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2890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kalite02</dc:creator>
  <cp:lastModifiedBy>kalite2</cp:lastModifiedBy>
  <cp:revision>2</cp:revision>
  <cp:lastPrinted>2020-04-28T09:25:00Z</cp:lastPrinted>
  <dcterms:created xsi:type="dcterms:W3CDTF">2020-04-28T11:33:00Z</dcterms:created>
  <dcterms:modified xsi:type="dcterms:W3CDTF">2020-04-28T11:33:00Z</dcterms:modified>
</cp:coreProperties>
</file>